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036E9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2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036E97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2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036E97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2</w:t>
      </w:r>
      <w:bookmarkStart w:id="0" w:name="_GoBack"/>
      <w:bookmarkEnd w:id="0"/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39E" w:rsidRDefault="000D439E" w:rsidP="0097351A">
      <w:pPr>
        <w:spacing w:after="0" w:line="240" w:lineRule="auto"/>
      </w:pPr>
      <w:r>
        <w:separator/>
      </w:r>
    </w:p>
  </w:endnote>
  <w:endnote w:type="continuationSeparator" w:id="0">
    <w:p w:rsidR="000D439E" w:rsidRDefault="000D439E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6E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39E" w:rsidRDefault="000D439E" w:rsidP="0097351A">
      <w:pPr>
        <w:spacing w:after="0" w:line="240" w:lineRule="auto"/>
      </w:pPr>
      <w:r>
        <w:separator/>
      </w:r>
    </w:p>
  </w:footnote>
  <w:footnote w:type="continuationSeparator" w:id="0">
    <w:p w:rsidR="000D439E" w:rsidRDefault="000D439E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36E97"/>
    <w:rsid w:val="000B4497"/>
    <w:rsid w:val="000C38DF"/>
    <w:rsid w:val="000D439E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2024-06-06T09:11:00Z</dcterms:modified>
</cp:coreProperties>
</file>