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8059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AA433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3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AA4339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AA4339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4E0" w:rsidRDefault="004404E0" w:rsidP="0097351A">
      <w:pPr>
        <w:spacing w:after="0" w:line="240" w:lineRule="auto"/>
      </w:pPr>
      <w:r>
        <w:separator/>
      </w:r>
    </w:p>
  </w:endnote>
  <w:endnote w:type="continuationSeparator" w:id="0">
    <w:p w:rsidR="004404E0" w:rsidRDefault="004404E0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43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4E0" w:rsidRDefault="004404E0" w:rsidP="0097351A">
      <w:pPr>
        <w:spacing w:after="0" w:line="240" w:lineRule="auto"/>
      </w:pPr>
      <w:r>
        <w:separator/>
      </w:r>
    </w:p>
  </w:footnote>
  <w:footnote w:type="continuationSeparator" w:id="0">
    <w:p w:rsidR="004404E0" w:rsidRDefault="004404E0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404E0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4339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2024-06-06T09:05:00Z</dcterms:modified>
</cp:coreProperties>
</file>