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669B5E99" w14:textId="77777777" w:rsidR="00C67E4A" w:rsidRPr="00B50C8D" w:rsidRDefault="00C67E4A" w:rsidP="00C67E4A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B50C8D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B50C8D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B50C8D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</w:p>
    <w:p w14:paraId="718902D9" w14:textId="77777777" w:rsidR="00C67E4A" w:rsidRPr="00295CC6" w:rsidRDefault="00C67E4A" w:rsidP="00C67E4A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B50C8D">
        <w:rPr>
          <w:rFonts w:ascii="Arial" w:hAnsi="Arial" w:cs="Arial"/>
          <w:b/>
          <w:bCs/>
          <w:iCs/>
          <w:sz w:val="24"/>
          <w:szCs w:val="24"/>
          <w:lang w:val="ru-RU"/>
        </w:rPr>
        <w:t>АНАЛИЗАТОР ИМПЕДАНСЕ-УРЕЂАЈ ЗА МЕРЕЊЕ ИМПЕДАНСЕ У ОДРЕЂЕНОМ ОПСЕГУ</w:t>
      </w:r>
      <w:r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ФРЕКВЕНЦИ</w:t>
      </w:r>
    </w:p>
    <w:p w14:paraId="50103601" w14:textId="5C437C65" w:rsidR="004024B8" w:rsidRPr="000A0821" w:rsidRDefault="004024B8" w:rsidP="004024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</w:p>
    <w:p w14:paraId="557DC233" w14:textId="18780979" w:rsidR="00295CC6" w:rsidRPr="00295CC6" w:rsidRDefault="00295CC6" w:rsidP="004024B8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02476D20" w14:textId="7EA075DC" w:rsidR="005A4136" w:rsidRPr="00F9623A" w:rsidRDefault="005A4136" w:rsidP="005A413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>,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61ADAB25" w:rsidR="00295CC6" w:rsidRPr="005A4136" w:rsidRDefault="00295CC6" w:rsidP="005A4136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5A4136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5A4136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5A4136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5A4136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5A4136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5A4136">
        <w:rPr>
          <w:rFonts w:ascii="Arial" w:hAnsi="Arial" w:cs="Arial"/>
          <w:sz w:val="24"/>
          <w:szCs w:val="24"/>
          <w:lang w:val="ru-RU"/>
        </w:rPr>
        <w:t>из</w:t>
      </w:r>
      <w:r w:rsidRPr="005A4136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5A4136">
        <w:rPr>
          <w:rFonts w:ascii="Arial" w:hAnsi="Arial" w:cs="Arial"/>
          <w:sz w:val="24"/>
          <w:szCs w:val="24"/>
          <w:lang w:val="ru-RU"/>
        </w:rPr>
        <w:t>____________________,</w:t>
      </w:r>
      <w:r w:rsidRPr="005A4136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5A4136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5A4136">
        <w:rPr>
          <w:rFonts w:ascii="Arial" w:hAnsi="Arial" w:cs="Arial"/>
          <w:sz w:val="24"/>
          <w:szCs w:val="24"/>
          <w:lang w:val="sr-Cyrl-RS"/>
        </w:rPr>
        <w:t>И</w:t>
      </w:r>
      <w:r w:rsidRPr="005A4136">
        <w:rPr>
          <w:rFonts w:ascii="Arial" w:hAnsi="Arial" w:cs="Arial"/>
          <w:sz w:val="24"/>
          <w:szCs w:val="24"/>
          <w:lang w:val="sr-Cyrl-CS"/>
        </w:rPr>
        <w:t>споручилац</w:t>
      </w:r>
      <w:r w:rsidRPr="005A4136">
        <w:rPr>
          <w:rFonts w:ascii="Arial" w:hAnsi="Arial" w:cs="Arial"/>
          <w:sz w:val="24"/>
          <w:szCs w:val="24"/>
          <w:lang w:val="sr-Cyrl-RS"/>
        </w:rPr>
        <w:t>.</w:t>
      </w:r>
    </w:p>
    <w:p w14:paraId="243DC386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69BD8B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="00C67E4A"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C67E4A">
        <w:rPr>
          <w:rFonts w:ascii="Arial" w:hAnsi="Arial" w:cs="Arial"/>
          <w:b/>
          <w:sz w:val="24"/>
          <w:szCs w:val="24"/>
          <w:lang w:val="sr-Cyrl-CS"/>
        </w:rPr>
        <w:t>0</w:t>
      </w:r>
      <w:r w:rsidR="00C67E4A">
        <w:rPr>
          <w:rFonts w:ascii="Arial" w:hAnsi="Arial" w:cs="Arial"/>
          <w:b/>
          <w:sz w:val="24"/>
          <w:szCs w:val="24"/>
          <w:lang w:val="sr-Cyrl-RS"/>
        </w:rPr>
        <w:t>01</w:t>
      </w:r>
      <w:r w:rsidR="00C67E4A">
        <w:rPr>
          <w:rFonts w:ascii="Arial" w:hAnsi="Arial" w:cs="Arial"/>
          <w:b/>
          <w:sz w:val="24"/>
          <w:szCs w:val="24"/>
        </w:rPr>
        <w:t>3</w:t>
      </w:r>
      <w:r w:rsidR="00C67E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C67E4A">
        <w:rPr>
          <w:rFonts w:ascii="Arial" w:hAnsi="Arial" w:cs="Arial"/>
          <w:b/>
          <w:sz w:val="24"/>
          <w:szCs w:val="24"/>
          <w:lang w:val="sr-Cyrl-RS"/>
        </w:rPr>
        <w:t>23</w:t>
      </w:r>
      <w:r w:rsidR="00C67E4A"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C67E4A" w:rsidRPr="00B50C8D">
        <w:rPr>
          <w:rFonts w:ascii="Arial" w:hAnsi="Arial" w:cs="Arial"/>
          <w:b/>
          <w:sz w:val="24"/>
          <w:lang w:val="sr-Latn-RS"/>
        </w:rPr>
        <w:t xml:space="preserve">Анализатор импедансе – уређај за мерење импедансе </w:t>
      </w:r>
      <w:r w:rsidR="00C67E4A" w:rsidRPr="00B50C8D">
        <w:rPr>
          <w:rFonts w:ascii="Arial" w:hAnsi="Arial" w:cs="Arial"/>
          <w:b/>
          <w:sz w:val="24"/>
          <w:lang w:val="sr-Cyrl-RS"/>
        </w:rPr>
        <w:t>у одређеном опсегу</w:t>
      </w:r>
      <w:r w:rsidR="00C67E4A" w:rsidRPr="00B50C8D">
        <w:rPr>
          <w:rFonts w:ascii="Arial" w:hAnsi="Arial" w:cs="Arial"/>
          <w:b/>
          <w:sz w:val="24"/>
          <w:lang w:val="sr-Latn-RS"/>
        </w:rPr>
        <w:t xml:space="preserve"> фреквенц</w:t>
      </w:r>
      <w:r w:rsidR="00C67E4A" w:rsidRPr="00B50C8D">
        <w:rPr>
          <w:rFonts w:ascii="Arial" w:hAnsi="Arial" w:cs="Arial"/>
          <w:b/>
          <w:sz w:val="24"/>
          <w:lang w:val="sr-Cyrl-RS"/>
        </w:rPr>
        <w:t>и</w:t>
      </w:r>
      <w:r w:rsidR="00C67E4A" w:rsidRPr="00B50C8D">
        <w:rPr>
          <w:rFonts w:ascii="Arial" w:hAnsi="Arial" w:cs="Arial"/>
          <w:b/>
          <w:sz w:val="24"/>
        </w:rPr>
        <w:t>.</w:t>
      </w:r>
    </w:p>
    <w:p w14:paraId="4F353764" w14:textId="78951CC4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473436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>г</w:t>
      </w:r>
      <w:r w:rsidR="00E93C22">
        <w:rPr>
          <w:rFonts w:ascii="Arial" w:hAnsi="Arial" w:cs="Arial"/>
          <w:sz w:val="24"/>
          <w:szCs w:val="24"/>
          <w:lang w:val="sr-Cyrl-CS"/>
        </w:rPr>
        <w:t>од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479AD031" w14:textId="0B7D9440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473436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>г</w:t>
      </w:r>
      <w:r w:rsidR="00E93C22">
        <w:rPr>
          <w:rFonts w:ascii="Arial" w:hAnsi="Arial" w:cs="Arial"/>
          <w:sz w:val="24"/>
          <w:szCs w:val="24"/>
          <w:lang w:val="sr-Cyrl-CS"/>
        </w:rPr>
        <w:t>од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39952A" w:rsidR="00547AFB" w:rsidRPr="00BC2B2E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sr-Cyrl-RS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Pr="00547AFB">
        <w:rPr>
          <w:rFonts w:ascii="Arial" w:hAnsi="Arial" w:cs="Arial"/>
          <w:sz w:val="24"/>
          <w:lang w:val="sr-Cyrl-RS"/>
        </w:rPr>
        <w:t xml:space="preserve">ра </w:t>
      </w:r>
      <w:r w:rsidR="00F40265">
        <w:rPr>
          <w:rFonts w:ascii="Arial" w:hAnsi="Arial" w:cs="Arial"/>
          <w:sz w:val="24"/>
          <w:lang w:val="sr-Cyrl-RS"/>
        </w:rPr>
        <w:t xml:space="preserve">- </w:t>
      </w:r>
      <w:r w:rsidR="00C67E4A" w:rsidRPr="00B50C8D">
        <w:rPr>
          <w:rFonts w:ascii="Arial" w:hAnsi="Arial" w:cs="Arial"/>
          <w:b/>
          <w:sz w:val="24"/>
          <w:lang w:val="sr-Latn-RS"/>
        </w:rPr>
        <w:t xml:space="preserve">Анализатор импедансе – уређај за мерење импедансе </w:t>
      </w:r>
      <w:r w:rsidR="00C67E4A" w:rsidRPr="00B50C8D">
        <w:rPr>
          <w:rFonts w:ascii="Arial" w:hAnsi="Arial" w:cs="Arial"/>
          <w:b/>
          <w:sz w:val="24"/>
          <w:lang w:val="sr-Cyrl-RS"/>
        </w:rPr>
        <w:t>у одређеном опсегу</w:t>
      </w:r>
      <w:r w:rsidR="00C67E4A" w:rsidRPr="00B50C8D">
        <w:rPr>
          <w:rFonts w:ascii="Arial" w:hAnsi="Arial" w:cs="Arial"/>
          <w:b/>
          <w:sz w:val="24"/>
          <w:lang w:val="sr-Latn-RS"/>
        </w:rPr>
        <w:t xml:space="preserve"> фреквенц</w:t>
      </w:r>
      <w:r w:rsidR="00C67E4A" w:rsidRPr="00B50C8D">
        <w:rPr>
          <w:rFonts w:ascii="Arial" w:hAnsi="Arial" w:cs="Arial"/>
          <w:b/>
          <w:sz w:val="24"/>
          <w:lang w:val="sr-Cyrl-RS"/>
        </w:rPr>
        <w:t>и</w:t>
      </w:r>
      <w:r w:rsidR="00C67E4A" w:rsidRPr="00B50C8D">
        <w:rPr>
          <w:rFonts w:ascii="Arial" w:hAnsi="Arial" w:cs="Arial"/>
          <w:b/>
          <w:sz w:val="24"/>
        </w:rPr>
        <w:t>.</w:t>
      </w:r>
      <w:r w:rsidR="00C67E4A" w:rsidRPr="0083647F">
        <w:rPr>
          <w:rFonts w:ascii="Arial" w:hAnsi="Arial" w:cs="Arial"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 xml:space="preserve">(у даљем тексту: </w:t>
      </w:r>
      <w:r w:rsidRPr="00547AFB">
        <w:rPr>
          <w:rFonts w:ascii="Arial" w:hAnsi="Arial" w:cs="Arial"/>
          <w:sz w:val="24"/>
          <w:lang w:val="sr-Cyrl-RS"/>
        </w:rPr>
        <w:t>добра</w:t>
      </w:r>
      <w:r w:rsidRPr="00547AFB">
        <w:rPr>
          <w:rFonts w:ascii="Arial" w:hAnsi="Arial" w:cs="Arial"/>
          <w:sz w:val="24"/>
          <w:lang w:val="ru-RU"/>
        </w:rPr>
        <w:t>), у свему према понуди Испоручиоца број _________ од ______ 202</w:t>
      </w:r>
      <w:r w:rsidR="00473436">
        <w:rPr>
          <w:rFonts w:ascii="Arial" w:hAnsi="Arial" w:cs="Arial"/>
          <w:sz w:val="24"/>
          <w:lang w:val="ru-RU"/>
        </w:rPr>
        <w:t>3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240A6C32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предметног добра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инсталација, монтажа, пуштањ</w:t>
      </w:r>
      <w:r w:rsidR="003C1DF6">
        <w:rPr>
          <w:rFonts w:ascii="Arial" w:hAnsi="Arial" w:cs="Arial"/>
          <w:sz w:val="24"/>
          <w:szCs w:val="24"/>
          <w:lang w:val="sr-Cyrl-CS"/>
        </w:rPr>
        <w:t>е опреме у рад и обука корисника.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313D06AD" w14:textId="77777777" w:rsidR="00175395" w:rsidRDefault="00175395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4F87590B" w14:textId="579AA740" w:rsidR="00881EC1" w:rsidRPr="00343BD2" w:rsidRDefault="00881EC1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>
        <w:rPr>
          <w:rFonts w:ascii="Arial" w:hAnsi="Arial" w:cs="Arial"/>
          <w:bCs/>
          <w:noProof/>
          <w:sz w:val="24"/>
          <w:szCs w:val="24"/>
          <w:lang w:val="sr-Cyrl-CS"/>
        </w:rPr>
        <w:t xml:space="preserve">- </w:t>
      </w:r>
      <w:r w:rsidR="002C2141">
        <w:rPr>
          <w:rFonts w:ascii="Arial" w:hAnsi="Arial" w:cs="Arial"/>
          <w:b/>
          <w:bCs/>
          <w:noProof/>
          <w:sz w:val="24"/>
          <w:szCs w:val="24"/>
          <w:lang w:val="sr-Cyrl-CS"/>
        </w:rPr>
        <w:t>А</w:t>
      </w:r>
      <w:r w:rsidRPr="00E76784">
        <w:rPr>
          <w:rFonts w:ascii="Arial" w:hAnsi="Arial" w:cs="Arial"/>
          <w:b/>
          <w:bCs/>
          <w:noProof/>
          <w:sz w:val="24"/>
          <w:szCs w:val="24"/>
          <w:lang w:val="sr-Cyrl-CS"/>
        </w:rPr>
        <w:t>ванс</w:t>
      </w:r>
      <w:r w:rsidR="002C2141">
        <w:rPr>
          <w:rFonts w:ascii="Arial" w:hAnsi="Arial" w:cs="Arial"/>
          <w:b/>
          <w:bCs/>
          <w:noProof/>
          <w:sz w:val="24"/>
          <w:szCs w:val="24"/>
          <w:lang w:val="sr-Cyrl-CS"/>
        </w:rPr>
        <w:t>но</w:t>
      </w:r>
      <w:r w:rsidR="00C67E4A">
        <w:rPr>
          <w:rFonts w:ascii="Arial" w:hAnsi="Arial" w:cs="Arial"/>
          <w:bCs/>
          <w:noProof/>
          <w:sz w:val="24"/>
          <w:szCs w:val="24"/>
          <w:lang w:val="sr-Cyrl-CS"/>
        </w:rPr>
        <w:t xml:space="preserve"> (</w:t>
      </w:r>
      <w:r w:rsidR="00C67E4A">
        <w:rPr>
          <w:rFonts w:ascii="Arial" w:hAnsi="Arial" w:cs="Arial"/>
          <w:bCs/>
          <w:noProof/>
          <w:sz w:val="24"/>
          <w:szCs w:val="24"/>
          <w:lang w:val="sr-Latn-RS"/>
        </w:rPr>
        <w:t>10</w:t>
      </w:r>
      <w:r>
        <w:rPr>
          <w:rFonts w:ascii="Arial" w:hAnsi="Arial" w:cs="Arial"/>
          <w:bCs/>
          <w:noProof/>
          <w:sz w:val="24"/>
          <w:szCs w:val="24"/>
          <w:lang w:val="sr-Cyrl-CS"/>
        </w:rPr>
        <w:t xml:space="preserve">0% од уговорене вредности) у року од </w:t>
      </w:r>
      <w:r w:rsidR="00C67E4A">
        <w:rPr>
          <w:rFonts w:ascii="Arial" w:hAnsi="Arial" w:cs="Arial"/>
          <w:bCs/>
          <w:noProof/>
          <w:sz w:val="24"/>
          <w:szCs w:val="24"/>
          <w:lang w:val="sr-Latn-RS"/>
        </w:rPr>
        <w:t>10</w:t>
      </w:r>
      <w:r w:rsidRPr="00881EC1">
        <w:rPr>
          <w:rFonts w:ascii="Arial" w:hAnsi="Arial" w:cs="Arial"/>
          <w:bCs/>
          <w:noProof/>
          <w:sz w:val="24"/>
          <w:szCs w:val="24"/>
          <w:lang w:val="sr-Cyrl-CS"/>
        </w:rPr>
        <w:t xml:space="preserve"> (</w:t>
      </w:r>
      <w:r w:rsidR="00C67E4A">
        <w:rPr>
          <w:rFonts w:ascii="Arial" w:hAnsi="Arial" w:cs="Arial"/>
          <w:bCs/>
          <w:noProof/>
          <w:sz w:val="24"/>
          <w:szCs w:val="24"/>
          <w:lang w:val="sr-Cyrl-CS"/>
        </w:rPr>
        <w:t>десет</w:t>
      </w:r>
      <w:r w:rsidRPr="00881EC1">
        <w:rPr>
          <w:rFonts w:ascii="Arial" w:hAnsi="Arial" w:cs="Arial"/>
          <w:bCs/>
          <w:noProof/>
          <w:sz w:val="24"/>
          <w:szCs w:val="24"/>
          <w:lang w:val="sr-Cyrl-CS"/>
        </w:rPr>
        <w:t xml:space="preserve">) </w:t>
      </w:r>
      <w:r>
        <w:rPr>
          <w:rFonts w:ascii="Arial" w:hAnsi="Arial" w:cs="Arial"/>
          <w:bCs/>
          <w:noProof/>
          <w:sz w:val="24"/>
          <w:szCs w:val="24"/>
          <w:lang w:val="sr-Cyrl-CS"/>
        </w:rPr>
        <w:t xml:space="preserve"> дана од дана зак</w:t>
      </w:r>
      <w:r w:rsidR="00C67E4A">
        <w:rPr>
          <w:rFonts w:ascii="Arial" w:hAnsi="Arial" w:cs="Arial"/>
          <w:bCs/>
          <w:noProof/>
          <w:sz w:val="24"/>
          <w:szCs w:val="24"/>
          <w:lang w:val="sr-Cyrl-CS"/>
        </w:rPr>
        <w:t>ључења Уговора о јавној набавци.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77777777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уговореног добра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, предају оригиналног упутства за рад које може бити на српском или енглеском језику, предају гарантних листова, извршену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Наручиоца 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не документације као доказ да је испоручено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092CB89C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Примопредаја не може отпочети пре него што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изврши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="005944CE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</w:p>
    <w:p w14:paraId="13B2FDAF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извршио обуку корисника,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57F84B20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добро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инсталацију, монтажу, пуштање опреме у рад и обуку корисника у року од 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lastRenderedPageBreak/>
        <w:t>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5D7E88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максимум </w:t>
      </w:r>
      <w:r w:rsidR="00C67E4A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60</w:t>
      </w:r>
      <w:r w:rsidR="005D7E88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53875B43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ра, инсталација, монтажа, пуштање опреме у рад из члана 1. овог уговора и обука корисн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ика 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8439A4">
        <w:rPr>
          <w:rFonts w:ascii="Arial" w:hAnsi="Arial" w:cs="Arial"/>
          <w:bCs/>
          <w:color w:val="000000"/>
          <w:sz w:val="24"/>
          <w:szCs w:val="24"/>
          <w:lang w:val="sr-Cyrl-CS"/>
        </w:rPr>
        <w:t>Улица</w:t>
      </w:r>
      <w:r w:rsidR="00CA50F7" w:rsidRPr="00CA50F7">
        <w:rPr>
          <w:rFonts w:ascii="Arial" w:hAnsi="Arial" w:cs="Arial"/>
          <w:bCs/>
          <w:color w:val="000000"/>
          <w:sz w:val="24"/>
          <w:szCs w:val="24"/>
          <w:lang w:val="sr-Latn-RS"/>
        </w:rPr>
        <w:t xml:space="preserve"> </w:t>
      </w:r>
      <w:r w:rsidR="00CA50F7" w:rsidRPr="00CA50F7">
        <w:rPr>
          <w:rFonts w:ascii="Arial" w:hAnsi="Arial" w:cs="Arial"/>
          <w:bCs/>
          <w:color w:val="000000"/>
          <w:sz w:val="24"/>
          <w:szCs w:val="24"/>
          <w:lang w:val="sr-Cyrl-RS"/>
        </w:rPr>
        <w:t xml:space="preserve">Волгина </w:t>
      </w:r>
      <w:r w:rsidR="00CA50F7" w:rsidRPr="00CA50F7">
        <w:rPr>
          <w:rFonts w:ascii="Arial" w:hAnsi="Arial" w:cs="Arial"/>
          <w:bCs/>
          <w:color w:val="000000"/>
          <w:sz w:val="24"/>
          <w:szCs w:val="24"/>
          <w:lang w:val="sr-Latn-RS"/>
        </w:rPr>
        <w:t>15</w:t>
      </w:r>
      <w:r w:rsidR="00C20C80" w:rsidRPr="00CA50F7">
        <w:rPr>
          <w:rFonts w:ascii="Arial" w:hAnsi="Arial" w:cs="Arial"/>
          <w:color w:val="000000" w:themeColor="text1"/>
          <w:sz w:val="24"/>
          <w:szCs w:val="24"/>
          <w:lang w:val="sr-Cyrl-CS"/>
        </w:rPr>
        <w:t>, Београд.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660ADD3F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добра из чл. 1. овог уговора, заједнички констатовати евентуалне недоста</w:t>
      </w:r>
      <w:r w:rsidR="00847825">
        <w:rPr>
          <w:rFonts w:ascii="Arial" w:hAnsi="Arial" w:cs="Arial"/>
          <w:sz w:val="24"/>
          <w:szCs w:val="24"/>
          <w:lang w:val="sr-Cyrl-CS"/>
        </w:rPr>
        <w:t>т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59CEC104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C67E4A">
        <w:rPr>
          <w:rFonts w:ascii="Arial" w:hAnsi="Arial" w:cs="Arial"/>
          <w:sz w:val="24"/>
          <w:szCs w:val="24"/>
          <w:lang w:val="sr-Cyrl-RS"/>
        </w:rPr>
        <w:t>7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 xml:space="preserve"> (</w:t>
      </w:r>
      <w:r w:rsidR="00C67E4A">
        <w:rPr>
          <w:rFonts w:ascii="Arial" w:hAnsi="Arial" w:cs="Arial"/>
          <w:sz w:val="24"/>
          <w:szCs w:val="24"/>
          <w:lang w:val="sr-Cyrl-RS"/>
        </w:rPr>
        <w:t>седам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  <w:bookmarkStart w:id="0" w:name="_GoBack"/>
      <w:bookmarkEnd w:id="0"/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30643544" w14:textId="372F1DBE" w:rsidR="00191B2F" w:rsidRPr="00295CC6" w:rsidRDefault="004326F7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="00191B2F"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5D7E88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минимум </w:t>
      </w:r>
      <w:r w:rsidR="00C67E4A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24</w:t>
      </w:r>
      <w:r w:rsidR="005D7E88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месец</w:t>
      </w:r>
      <w:r w:rsidR="00C67E4A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од дана испоруке, монтаже, инсталације, обуке корисника код </w:t>
      </w:r>
      <w:r w:rsidR="00692E40"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, односно пуштања опреме у рад.</w:t>
      </w:r>
    </w:p>
    <w:p w14:paraId="0F5C46C0" w14:textId="77777777" w:rsidR="00191B2F" w:rsidRPr="00295CC6" w:rsidRDefault="00692E40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9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E930D7" w:rsidR="00191B2F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бланко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сопствен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оверен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картоном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депонованих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регистрованих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енично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овлашћење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износу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вредности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  <w:r w:rsidR="00D821B4" w:rsidRPr="00D821B4">
        <w:rPr>
          <w:rFonts w:ascii="Arial" w:hAnsi="Arial" w:cs="Arial"/>
          <w:bCs/>
          <w:lang w:val="sr-Cyrl-CS" w:eastAsia="sr-Latn-CS"/>
        </w:rPr>
        <w:t xml:space="preserve"> </w:t>
      </w:r>
      <w:r w:rsidR="00D821B4" w:rsidRPr="00D821B4">
        <w:rPr>
          <w:rFonts w:ascii="Arial" w:hAnsi="Arial" w:cs="Arial"/>
          <w:bCs/>
          <w:sz w:val="24"/>
          <w:szCs w:val="24"/>
          <w:lang w:val="sr-Cyrl-CS" w:eastAsia="sr-Latn-CS"/>
        </w:rPr>
        <w:t>Уз меницу мора бити достављена копија захтева за регистрацију менице, оверена од стране пословне банке понуђача, и копија картона депонованих потписа који је издат од стране пословне банке коју понуђач наводи у меничном овлашћењу – писму.</w:t>
      </w:r>
    </w:p>
    <w:p w14:paraId="67313EAD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20ECB48" w14:textId="5B44D923" w:rsidR="00A54342" w:rsidRPr="00A54342" w:rsidRDefault="00A54342" w:rsidP="00A54342">
      <w:pPr>
        <w:spacing w:line="240" w:lineRule="auto"/>
        <w:jc w:val="both"/>
        <w:rPr>
          <w:rFonts w:ascii="Arial" w:hAnsi="Arial" w:cs="Arial"/>
          <w:sz w:val="24"/>
          <w:lang w:val="sr-Latn-R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Pr="00295CC6">
        <w:rPr>
          <w:rFonts w:ascii="Arial" w:hAnsi="Arial" w:cs="Arial"/>
          <w:sz w:val="24"/>
          <w:szCs w:val="24"/>
        </w:rPr>
        <w:t xml:space="preserve"> </w:t>
      </w:r>
      <w:r w:rsidR="00971EA0">
        <w:rPr>
          <w:rFonts w:ascii="Arial" w:hAnsi="Arial" w:cs="Arial"/>
          <w:b/>
          <w:sz w:val="24"/>
          <w:lang w:val="sr-Cyrl-RS"/>
        </w:rPr>
        <w:t>м</w:t>
      </w:r>
      <w:r w:rsidRPr="00A54342">
        <w:rPr>
          <w:rFonts w:ascii="Arial" w:hAnsi="Arial" w:cs="Arial"/>
          <w:b/>
          <w:sz w:val="24"/>
          <w:lang w:val="sr-Cyrl-RS"/>
        </w:rPr>
        <w:t>еницу за повраћај авансног плаћања</w:t>
      </w:r>
      <w:r w:rsidRPr="00A54342">
        <w:rPr>
          <w:rFonts w:ascii="Arial" w:hAnsi="Arial" w:cs="Arial"/>
          <w:sz w:val="24"/>
          <w:lang w:val="sr-Cyrl-RS"/>
        </w:rPr>
        <w:t xml:space="preserve"> и то бланко сопствену меницу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писмо, са назначеним износом од </w:t>
      </w:r>
      <w:r w:rsidR="00C67E4A">
        <w:rPr>
          <w:rFonts w:ascii="Arial" w:hAnsi="Arial" w:cs="Arial"/>
          <w:sz w:val="24"/>
          <w:lang w:val="sr-Cyrl-RS"/>
        </w:rPr>
        <w:t>10</w:t>
      </w:r>
      <w:r w:rsidR="00BC5AC7">
        <w:rPr>
          <w:rFonts w:ascii="Arial" w:hAnsi="Arial" w:cs="Arial"/>
          <w:sz w:val="24"/>
          <w:lang w:val="sr-Cyrl-RS"/>
        </w:rPr>
        <w:t>0</w:t>
      </w:r>
      <w:r w:rsidRPr="00A54342">
        <w:rPr>
          <w:rFonts w:ascii="Arial" w:hAnsi="Arial" w:cs="Arial"/>
          <w:sz w:val="24"/>
          <w:lang w:val="sr-Cyrl-RS"/>
        </w:rPr>
        <w:t xml:space="preserve">% вредности закљученог уговора са ПДВ-ом за повраћај авансног плаћања. </w:t>
      </w:r>
      <w:r w:rsidR="00D821B4" w:rsidRPr="00D821B4">
        <w:rPr>
          <w:rFonts w:ascii="Arial" w:hAnsi="Arial" w:cs="Arial"/>
          <w:bCs/>
          <w:sz w:val="24"/>
          <w:szCs w:val="24"/>
          <w:lang w:val="sr-Cyrl-CS" w:eastAsia="sr-Latn-CS"/>
        </w:rPr>
        <w:t xml:space="preserve">Уз меницу мора бити достављена копија захтева за регистрацију менице, оверена од стране </w:t>
      </w:r>
      <w:r w:rsidR="00D821B4" w:rsidRPr="00D821B4">
        <w:rPr>
          <w:rFonts w:ascii="Arial" w:hAnsi="Arial" w:cs="Arial"/>
          <w:bCs/>
          <w:sz w:val="24"/>
          <w:szCs w:val="24"/>
          <w:lang w:val="sr-Cyrl-CS" w:eastAsia="sr-Latn-CS"/>
        </w:rPr>
        <w:lastRenderedPageBreak/>
        <w:t>пословне банке понуђача, и копија картона депонованих потписа који је издат од стране пословне банке коју понуђач наводи у меничном овлашћењу – писму.</w:t>
      </w:r>
    </w:p>
    <w:p w14:paraId="54BF5391" w14:textId="74AEA147" w:rsidR="00A54342" w:rsidRPr="00A54342" w:rsidRDefault="00A54342" w:rsidP="00A54342">
      <w:pPr>
        <w:spacing w:line="240" w:lineRule="auto"/>
        <w:jc w:val="both"/>
        <w:rPr>
          <w:rFonts w:ascii="Arial" w:hAnsi="Arial" w:cs="Arial"/>
          <w:sz w:val="24"/>
          <w:lang w:val="sr-Cyrl-RS"/>
        </w:rPr>
      </w:pPr>
      <w:r w:rsidRPr="00A54342">
        <w:rPr>
          <w:rFonts w:ascii="Arial" w:hAnsi="Arial" w:cs="Arial"/>
          <w:sz w:val="24"/>
          <w:lang w:val="sr-Cyrl-RS"/>
        </w:rPr>
        <w:t>Вредност исказана у меничном овлашћењу за повраћај авансног плаћања мора бити на износ од __________ динара (словима: __________)  са роком важења најкраће до испуњења свих обавеза у складу са уговором о јавним набавкама, које су предмет јавне набавке.</w:t>
      </w:r>
    </w:p>
    <w:p w14:paraId="4EAC19B2" w14:textId="77777777" w:rsidR="00A54342" w:rsidRPr="00A54342" w:rsidRDefault="00A54342" w:rsidP="00A54342">
      <w:pPr>
        <w:spacing w:line="240" w:lineRule="auto"/>
        <w:jc w:val="both"/>
        <w:rPr>
          <w:rFonts w:ascii="Arial" w:hAnsi="Arial" w:cs="Arial"/>
          <w:sz w:val="24"/>
          <w:lang w:val="sr-Cyrl-RS"/>
        </w:rPr>
      </w:pPr>
      <w:r w:rsidRPr="00A54342">
        <w:rPr>
          <w:rFonts w:ascii="Arial" w:hAnsi="Arial" w:cs="Arial"/>
          <w:sz w:val="24"/>
          <w:lang w:val="sr-Cyrl-RS"/>
        </w:rPr>
        <w:t>Бланко соло меница мора пре предаје бити регистрована код Народне банке Србије, у складу са Одлуком о ближим условима, садржини и начину вођења регистра меница и овлашћења („Службени гласник РС“, бр. 56/2011 и 80/2015).</w:t>
      </w:r>
    </w:p>
    <w:p w14:paraId="51EBAA6A" w14:textId="77777777" w:rsidR="00A54342" w:rsidRPr="00A54342" w:rsidRDefault="00A54342" w:rsidP="00A54342">
      <w:pPr>
        <w:spacing w:line="240" w:lineRule="auto"/>
        <w:jc w:val="both"/>
        <w:rPr>
          <w:rFonts w:ascii="Arial" w:hAnsi="Arial" w:cs="Arial"/>
          <w:sz w:val="24"/>
          <w:lang w:val="sr-Cyrl-RS"/>
        </w:rPr>
      </w:pPr>
      <w:r w:rsidRPr="00A54342">
        <w:rPr>
          <w:rFonts w:ascii="Arial" w:hAnsi="Arial" w:cs="Arial"/>
          <w:sz w:val="24"/>
          <w:lang w:val="sr-Cyrl-RS"/>
        </w:rPr>
        <w:t>Меница може бити наплаћена у случају да Извршилац не буде извршавао своје уговорне обавезе у роковима и на начин предвиђен овим уговором.</w:t>
      </w: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ће активирати средства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случају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неиспуњења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кашњења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</w:t>
      </w:r>
      <w:r w:rsidR="004326F7">
        <w:rPr>
          <w:rFonts w:ascii="Arial" w:hAnsi="Arial" w:cs="Arial"/>
          <w:sz w:val="24"/>
          <w:szCs w:val="24"/>
        </w:rPr>
        <w:t>еном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року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за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испоруку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уговорен</w:t>
      </w:r>
      <w:proofErr w:type="spellEnd"/>
      <w:r w:rsidR="004326F7">
        <w:rPr>
          <w:rFonts w:ascii="Arial" w:hAnsi="Arial" w:cs="Arial"/>
          <w:sz w:val="24"/>
          <w:szCs w:val="24"/>
          <w:lang w:val="sr-Cyrl-RS"/>
        </w:rPr>
        <w:t>ог</w:t>
      </w:r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доб</w:t>
      </w:r>
      <w:r w:rsidR="00191B2F" w:rsidRPr="00295CC6">
        <w:rPr>
          <w:rFonts w:ascii="Arial" w:hAnsi="Arial" w:cs="Arial"/>
          <w:sz w:val="24"/>
          <w:szCs w:val="24"/>
        </w:rPr>
        <w:t>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више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25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нерешавања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примљене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писане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рекламације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неотклањања </w:t>
      </w:r>
      <w:r w:rsidR="0095067D" w:rsidRPr="00295CC6">
        <w:rPr>
          <w:rFonts w:ascii="Arial" w:hAnsi="Arial" w:cs="Arial"/>
          <w:sz w:val="24"/>
          <w:szCs w:val="24"/>
          <w:lang w:val="sr-Cyrl-RS"/>
        </w:rPr>
        <w:t>недостатака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гарантном року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или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једностраног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раскида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три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достављања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наплату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томе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средства финансијског обезбеђења, на његов захтев по истеку рокова из става 1. и 2.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77777777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343BD2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1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326F2FB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1. овог уговора и укол</w:t>
      </w:r>
      <w:r w:rsidR="009909BD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8198E" w14:textId="77777777" w:rsidR="00F50C97" w:rsidRDefault="00F50C97" w:rsidP="00EF5384">
      <w:pPr>
        <w:spacing w:after="0" w:line="240" w:lineRule="auto"/>
      </w:pPr>
      <w:r>
        <w:separator/>
      </w:r>
    </w:p>
  </w:endnote>
  <w:endnote w:type="continuationSeparator" w:id="0">
    <w:p w14:paraId="124E6D0C" w14:textId="77777777" w:rsidR="00F50C97" w:rsidRDefault="00F50C97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8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EB93F" w14:textId="77777777" w:rsidR="00F50C97" w:rsidRDefault="00F50C97" w:rsidP="00EF5384">
      <w:pPr>
        <w:spacing w:after="0" w:line="240" w:lineRule="auto"/>
      </w:pPr>
      <w:r>
        <w:separator/>
      </w:r>
    </w:p>
  </w:footnote>
  <w:footnote w:type="continuationSeparator" w:id="0">
    <w:p w14:paraId="607CDD7F" w14:textId="77777777" w:rsidR="00F50C97" w:rsidRDefault="00F50C97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1796"/>
    <w:rsid w:val="00010256"/>
    <w:rsid w:val="00017C20"/>
    <w:rsid w:val="000274D7"/>
    <w:rsid w:val="000914D0"/>
    <w:rsid w:val="00097783"/>
    <w:rsid w:val="000A0821"/>
    <w:rsid w:val="000B1F4A"/>
    <w:rsid w:val="000C41AE"/>
    <w:rsid w:val="000E18B5"/>
    <w:rsid w:val="00100161"/>
    <w:rsid w:val="00156544"/>
    <w:rsid w:val="00175395"/>
    <w:rsid w:val="00186BD2"/>
    <w:rsid w:val="00191B2F"/>
    <w:rsid w:val="00222984"/>
    <w:rsid w:val="00230689"/>
    <w:rsid w:val="002412FC"/>
    <w:rsid w:val="00260CB4"/>
    <w:rsid w:val="002714EA"/>
    <w:rsid w:val="00284BB0"/>
    <w:rsid w:val="00295CC6"/>
    <w:rsid w:val="002A04B9"/>
    <w:rsid w:val="002A3CCA"/>
    <w:rsid w:val="002B1DB8"/>
    <w:rsid w:val="002C2141"/>
    <w:rsid w:val="002C7C16"/>
    <w:rsid w:val="0032541C"/>
    <w:rsid w:val="00332C8D"/>
    <w:rsid w:val="00343BD2"/>
    <w:rsid w:val="0034753D"/>
    <w:rsid w:val="003820E6"/>
    <w:rsid w:val="003842C7"/>
    <w:rsid w:val="0038601F"/>
    <w:rsid w:val="00392213"/>
    <w:rsid w:val="00397B0D"/>
    <w:rsid w:val="003A2957"/>
    <w:rsid w:val="003C1DF6"/>
    <w:rsid w:val="003E0B04"/>
    <w:rsid w:val="003E5BB1"/>
    <w:rsid w:val="003F37FA"/>
    <w:rsid w:val="004024B8"/>
    <w:rsid w:val="004326F7"/>
    <w:rsid w:val="004404C2"/>
    <w:rsid w:val="004550AB"/>
    <w:rsid w:val="00460E26"/>
    <w:rsid w:val="004643B8"/>
    <w:rsid w:val="00473436"/>
    <w:rsid w:val="004903D2"/>
    <w:rsid w:val="00496AF7"/>
    <w:rsid w:val="004F3B14"/>
    <w:rsid w:val="00523828"/>
    <w:rsid w:val="00541DA2"/>
    <w:rsid w:val="00547AFB"/>
    <w:rsid w:val="005724F9"/>
    <w:rsid w:val="005944CE"/>
    <w:rsid w:val="005A4136"/>
    <w:rsid w:val="005B7D72"/>
    <w:rsid w:val="005D4207"/>
    <w:rsid w:val="005D5C08"/>
    <w:rsid w:val="005D7E88"/>
    <w:rsid w:val="005E0D39"/>
    <w:rsid w:val="005E1B1E"/>
    <w:rsid w:val="005E36DD"/>
    <w:rsid w:val="00623282"/>
    <w:rsid w:val="0062407F"/>
    <w:rsid w:val="00640FEA"/>
    <w:rsid w:val="0066003A"/>
    <w:rsid w:val="00663616"/>
    <w:rsid w:val="00685797"/>
    <w:rsid w:val="00692E40"/>
    <w:rsid w:val="006B0CF5"/>
    <w:rsid w:val="006E4038"/>
    <w:rsid w:val="00701518"/>
    <w:rsid w:val="00701C27"/>
    <w:rsid w:val="00730416"/>
    <w:rsid w:val="00765A7E"/>
    <w:rsid w:val="007D78A8"/>
    <w:rsid w:val="00833B26"/>
    <w:rsid w:val="008439A4"/>
    <w:rsid w:val="00846DA2"/>
    <w:rsid w:val="00847825"/>
    <w:rsid w:val="00876CC5"/>
    <w:rsid w:val="00881EC1"/>
    <w:rsid w:val="0089500F"/>
    <w:rsid w:val="00897089"/>
    <w:rsid w:val="00897156"/>
    <w:rsid w:val="00897193"/>
    <w:rsid w:val="008A5450"/>
    <w:rsid w:val="008A6AE3"/>
    <w:rsid w:val="008D460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609D2"/>
    <w:rsid w:val="00965910"/>
    <w:rsid w:val="0096756E"/>
    <w:rsid w:val="00971EA0"/>
    <w:rsid w:val="009909BD"/>
    <w:rsid w:val="00995349"/>
    <w:rsid w:val="009B7A5A"/>
    <w:rsid w:val="00A15998"/>
    <w:rsid w:val="00A45E3A"/>
    <w:rsid w:val="00A54342"/>
    <w:rsid w:val="00A848F0"/>
    <w:rsid w:val="00A8572F"/>
    <w:rsid w:val="00A968C5"/>
    <w:rsid w:val="00AA4F2F"/>
    <w:rsid w:val="00AD7FC9"/>
    <w:rsid w:val="00B55CC2"/>
    <w:rsid w:val="00B562B5"/>
    <w:rsid w:val="00B75C12"/>
    <w:rsid w:val="00B775EA"/>
    <w:rsid w:val="00BC2B2E"/>
    <w:rsid w:val="00BC5AC7"/>
    <w:rsid w:val="00BD51C1"/>
    <w:rsid w:val="00C11A1E"/>
    <w:rsid w:val="00C20C80"/>
    <w:rsid w:val="00C67E4A"/>
    <w:rsid w:val="00C75E72"/>
    <w:rsid w:val="00C94637"/>
    <w:rsid w:val="00CA50F7"/>
    <w:rsid w:val="00CB6537"/>
    <w:rsid w:val="00CC22EE"/>
    <w:rsid w:val="00CC2690"/>
    <w:rsid w:val="00CE0DEC"/>
    <w:rsid w:val="00CF6A1E"/>
    <w:rsid w:val="00D05C52"/>
    <w:rsid w:val="00D20FAB"/>
    <w:rsid w:val="00D40B6E"/>
    <w:rsid w:val="00D44E07"/>
    <w:rsid w:val="00D821B4"/>
    <w:rsid w:val="00DB1FA8"/>
    <w:rsid w:val="00DF1F6A"/>
    <w:rsid w:val="00DF3C3D"/>
    <w:rsid w:val="00E007E6"/>
    <w:rsid w:val="00E40E29"/>
    <w:rsid w:val="00E62224"/>
    <w:rsid w:val="00E76784"/>
    <w:rsid w:val="00E93C22"/>
    <w:rsid w:val="00EB0C08"/>
    <w:rsid w:val="00EB0D8E"/>
    <w:rsid w:val="00EB509F"/>
    <w:rsid w:val="00EF41FF"/>
    <w:rsid w:val="00EF5384"/>
    <w:rsid w:val="00F03175"/>
    <w:rsid w:val="00F1761C"/>
    <w:rsid w:val="00F35FCC"/>
    <w:rsid w:val="00F40265"/>
    <w:rsid w:val="00F43916"/>
    <w:rsid w:val="00F50C97"/>
    <w:rsid w:val="00F55551"/>
    <w:rsid w:val="00F82632"/>
    <w:rsid w:val="00F85A92"/>
    <w:rsid w:val="00F9172B"/>
    <w:rsid w:val="00FA4C67"/>
    <w:rsid w:val="00FB65D4"/>
    <w:rsid w:val="00FD18DD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9507-C057-487F-9120-25D3B13AA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10</cp:revision>
  <cp:lastPrinted>2023-11-27T09:27:00Z</cp:lastPrinted>
  <dcterms:created xsi:type="dcterms:W3CDTF">2023-11-27T09:21:00Z</dcterms:created>
  <dcterms:modified xsi:type="dcterms:W3CDTF">2023-11-27T14:01:00Z</dcterms:modified>
</cp:coreProperties>
</file>